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3E5F6" w:themeColor="accent3" w:themeTint="33"/>
  <w:body>
    <w:p w14:paraId="1C5885A5" w14:textId="6410F8A8" w:rsidR="008F66C2" w:rsidRPr="00F70999" w:rsidRDefault="00C46550" w:rsidP="00B8265D">
      <w:pPr>
        <w:pStyle w:val="Heading1"/>
        <w:jc w:val="center"/>
      </w:pPr>
      <w:r>
        <w:t>Sample U</w:t>
      </w:r>
      <w:r w:rsidR="00813B2F">
        <w:t>DL</w:t>
      </w:r>
      <w:r>
        <w:t xml:space="preserve"> Prompt</w:t>
      </w:r>
      <w:r w:rsidR="00813B2F">
        <w:t>s</w:t>
      </w:r>
      <w:r>
        <w:t xml:space="preserve"> for AI</w:t>
      </w:r>
    </w:p>
    <w:p w14:paraId="0B0BDA4B" w14:textId="77777777" w:rsidR="008F66C2" w:rsidRPr="008F66C2" w:rsidRDefault="008F66C2" w:rsidP="008F66C2">
      <w:pPr>
        <w:rPr>
          <w:rFonts w:cs="Arial"/>
          <w:color w:val="374C80" w:themeColor="accent1" w:themeShade="BF"/>
        </w:rPr>
      </w:pPr>
    </w:p>
    <w:p w14:paraId="3D912BF4" w14:textId="6EF655A0" w:rsidR="00C46550" w:rsidRPr="00C46550" w:rsidRDefault="00C46550" w:rsidP="00C46550">
      <w:pPr>
        <w:pStyle w:val="Heading2"/>
        <w:rPr>
          <w:b/>
          <w:color w:val="143F6A" w:themeColor="accent3" w:themeShade="80"/>
        </w:rPr>
      </w:pPr>
      <w:r w:rsidRPr="00C46550">
        <w:rPr>
          <w:b/>
          <w:bCs/>
          <w:color w:val="143F6A" w:themeColor="accent3" w:themeShade="80"/>
        </w:rPr>
        <w:t xml:space="preserve">Prompting AI for UDL help: </w:t>
      </w:r>
      <w:proofErr w:type="spellStart"/>
      <w:r w:rsidRPr="00C46550">
        <w:rPr>
          <w:b/>
          <w:bCs/>
          <w:color w:val="143F6A" w:themeColor="accent3" w:themeShade="80"/>
        </w:rPr>
        <w:t>ChatGPT</w:t>
      </w:r>
      <w:proofErr w:type="spellEnd"/>
      <w:r w:rsidRPr="00C46550">
        <w:rPr>
          <w:b/>
          <w:bCs/>
          <w:color w:val="143F6A" w:themeColor="accent3" w:themeShade="80"/>
        </w:rPr>
        <w:t xml:space="preserve"> or Bing Copilot</w:t>
      </w:r>
    </w:p>
    <w:p w14:paraId="777155D4" w14:textId="7D59F4EF" w:rsidR="003F5734" w:rsidRDefault="003F5734" w:rsidP="003F5734">
      <w:pPr>
        <w:rPr>
          <w:b/>
          <w:bCs/>
          <w:color w:val="143F6A" w:themeColor="accent3" w:themeShade="80"/>
        </w:rPr>
      </w:pPr>
    </w:p>
    <w:p w14:paraId="7F165EB2" w14:textId="77A084A3" w:rsidR="008245C3" w:rsidRDefault="008245C3" w:rsidP="003F5734">
      <w:pPr>
        <w:rPr>
          <w:b/>
          <w:bCs/>
          <w:color w:val="143F6A" w:themeColor="accent3" w:themeShade="80"/>
        </w:rPr>
      </w:pPr>
      <w:r>
        <w:rPr>
          <w:b/>
          <w:bCs/>
          <w:color w:val="143F6A" w:themeColor="accent3" w:themeShade="80"/>
        </w:rPr>
        <w:t>Accessible Instruction:</w:t>
      </w:r>
    </w:p>
    <w:p w14:paraId="640D5C8C" w14:textId="0FCF1FA1" w:rsidR="008245C3" w:rsidRPr="008245C3" w:rsidRDefault="008245C3" w:rsidP="003F5734">
      <w:pPr>
        <w:rPr>
          <w:bCs/>
          <w:color w:val="143F6A" w:themeColor="accent3" w:themeShade="80"/>
        </w:rPr>
      </w:pPr>
      <w:r w:rsidRPr="008245C3">
        <w:rPr>
          <w:bCs/>
          <w:color w:val="143F6A" w:themeColor="accent3" w:themeShade="80"/>
        </w:rPr>
        <w:t>“</w:t>
      </w:r>
      <w:r>
        <w:rPr>
          <w:bCs/>
          <w:color w:val="143F6A" w:themeColor="accent3" w:themeShade="80"/>
        </w:rPr>
        <w:t>Please give me feedback on making these instructions more accessible using a UDL framework [upload draft instructions].”</w:t>
      </w:r>
    </w:p>
    <w:p w14:paraId="761FA542" w14:textId="0C0358C6" w:rsidR="003F5734" w:rsidRDefault="003F5734" w:rsidP="003F5734">
      <w:pPr>
        <w:rPr>
          <w:bCs/>
          <w:color w:val="143F6A" w:themeColor="accent3" w:themeShade="80"/>
        </w:rPr>
      </w:pPr>
      <w:r w:rsidRPr="00C46550">
        <w:rPr>
          <w:b/>
          <w:bCs/>
          <w:color w:val="143F6A" w:themeColor="accent3" w:themeShade="80"/>
        </w:rPr>
        <w:t>Engagement Strategies:</w:t>
      </w:r>
      <w:r w:rsidRPr="00C46550">
        <w:rPr>
          <w:bCs/>
          <w:color w:val="143F6A" w:themeColor="accent3" w:themeShade="80"/>
        </w:rPr>
        <w:t xml:space="preserve"> </w:t>
      </w:r>
    </w:p>
    <w:p w14:paraId="5C0A5478" w14:textId="5D257C3E" w:rsidR="00C46550" w:rsidRPr="003F5734" w:rsidRDefault="003F5734" w:rsidP="00C46550">
      <w:pPr>
        <w:rPr>
          <w:color w:val="143F6A" w:themeColor="accent3" w:themeShade="80"/>
        </w:rPr>
      </w:pPr>
      <w:r w:rsidRPr="00C46550">
        <w:rPr>
          <w:color w:val="143F6A" w:themeColor="accent3" w:themeShade="80"/>
        </w:rPr>
        <w:t>"What are some strategies I can use to engage students with diverse interests and motivation levels in a topic like [specific subject]?"</w:t>
      </w:r>
    </w:p>
    <w:p w14:paraId="1D47985F" w14:textId="77777777" w:rsidR="00C46550" w:rsidRPr="00C46550" w:rsidRDefault="00C46550" w:rsidP="00C46550">
      <w:pPr>
        <w:rPr>
          <w:b/>
          <w:bCs/>
          <w:color w:val="143F6A" w:themeColor="accent3" w:themeShade="80"/>
        </w:rPr>
      </w:pPr>
      <w:r w:rsidRPr="00C46550">
        <w:rPr>
          <w:b/>
          <w:bCs/>
          <w:color w:val="143F6A" w:themeColor="accent3" w:themeShade="80"/>
        </w:rPr>
        <w:t xml:space="preserve">Differentiated Content Delivery: </w:t>
      </w:r>
    </w:p>
    <w:p w14:paraId="054FFC85" w14:textId="1357759C" w:rsidR="00C46550" w:rsidRPr="00C46550" w:rsidRDefault="00C46550" w:rsidP="00C46550">
      <w:pPr>
        <w:rPr>
          <w:color w:val="143F6A" w:themeColor="accent3" w:themeShade="80"/>
        </w:rPr>
      </w:pPr>
      <w:r w:rsidRPr="00C46550">
        <w:rPr>
          <w:color w:val="143F6A" w:themeColor="accent3" w:themeShade="80"/>
        </w:rPr>
        <w:t>"Can you help me create a lesson plan that presents information on X in multiple ways, such as through text, audio, and visuals?</w:t>
      </w:r>
    </w:p>
    <w:p w14:paraId="37537F02" w14:textId="77777777" w:rsidR="00C46550" w:rsidRDefault="00C46550" w:rsidP="00C46550">
      <w:pPr>
        <w:rPr>
          <w:bCs/>
          <w:color w:val="143F6A" w:themeColor="accent3" w:themeShade="80"/>
        </w:rPr>
      </w:pPr>
      <w:r w:rsidRPr="00C46550">
        <w:rPr>
          <w:b/>
          <w:bCs/>
          <w:color w:val="143F6A" w:themeColor="accent3" w:themeShade="80"/>
        </w:rPr>
        <w:t>Interactive Assessments:</w:t>
      </w:r>
      <w:r w:rsidRPr="00C46550">
        <w:rPr>
          <w:bCs/>
          <w:color w:val="143F6A" w:themeColor="accent3" w:themeShade="80"/>
        </w:rPr>
        <w:t xml:space="preserve"> </w:t>
      </w:r>
    </w:p>
    <w:p w14:paraId="68973BBA" w14:textId="5EAD3EEA" w:rsidR="00C46550" w:rsidRPr="00C46550" w:rsidRDefault="00C46550" w:rsidP="00C46550">
      <w:pPr>
        <w:rPr>
          <w:color w:val="143F6A" w:themeColor="accent3" w:themeShade="80"/>
        </w:rPr>
      </w:pPr>
      <w:r w:rsidRPr="00C46550">
        <w:rPr>
          <w:color w:val="143F6A" w:themeColor="accent3" w:themeShade="80"/>
        </w:rPr>
        <w:t>"How can I design an assessment that allows students to demonstrate their understanding in various formats, like written, oral, or a project-based approach?"</w:t>
      </w:r>
    </w:p>
    <w:p w14:paraId="2239BF9A" w14:textId="166313EF" w:rsidR="00C46550" w:rsidRDefault="008245C3" w:rsidP="00C46550">
      <w:pPr>
        <w:rPr>
          <w:color w:val="143F6A" w:themeColor="accent3" w:themeShade="80"/>
        </w:rPr>
      </w:pPr>
      <w:r>
        <w:rPr>
          <w:b/>
          <w:bCs/>
          <w:color w:val="143F6A" w:themeColor="accent3" w:themeShade="80"/>
        </w:rPr>
        <w:t xml:space="preserve">Specific </w:t>
      </w:r>
      <w:r w:rsidR="00C46550" w:rsidRPr="00C46550">
        <w:rPr>
          <w:b/>
          <w:bCs/>
          <w:color w:val="143F6A" w:themeColor="accent3" w:themeShade="80"/>
        </w:rPr>
        <w:t xml:space="preserve">Language Support: </w:t>
      </w:r>
    </w:p>
    <w:p w14:paraId="51F44FEC" w14:textId="5563ECF2" w:rsidR="00C46550" w:rsidRPr="00C46550" w:rsidRDefault="00C46550" w:rsidP="00C46550">
      <w:pPr>
        <w:rPr>
          <w:color w:val="143F6A" w:themeColor="accent3" w:themeShade="80"/>
        </w:rPr>
      </w:pPr>
      <w:r w:rsidRPr="00C46550">
        <w:rPr>
          <w:color w:val="143F6A" w:themeColor="accent3" w:themeShade="80"/>
        </w:rPr>
        <w:t xml:space="preserve">"Can you suggest resources or tools to support students who are English language learners in understanding </w:t>
      </w:r>
      <w:r w:rsidR="008245C3">
        <w:rPr>
          <w:color w:val="143F6A" w:themeColor="accent3" w:themeShade="80"/>
        </w:rPr>
        <w:t xml:space="preserve">more </w:t>
      </w:r>
      <w:r w:rsidRPr="00C46550">
        <w:rPr>
          <w:color w:val="143F6A" w:themeColor="accent3" w:themeShade="80"/>
        </w:rPr>
        <w:t>complex topics in [specific subject]?"</w:t>
      </w:r>
    </w:p>
    <w:p w14:paraId="49B83AA1" w14:textId="77777777" w:rsidR="00C46550" w:rsidRDefault="00C46550" w:rsidP="00C46550">
      <w:pPr>
        <w:rPr>
          <w:color w:val="143F6A" w:themeColor="accent3" w:themeShade="80"/>
        </w:rPr>
      </w:pPr>
      <w:r w:rsidRPr="00C46550">
        <w:rPr>
          <w:b/>
          <w:color w:val="143F6A" w:themeColor="accent3" w:themeShade="80"/>
        </w:rPr>
        <w:t>Technology Integration:</w:t>
      </w:r>
      <w:r w:rsidRPr="00C46550">
        <w:rPr>
          <w:color w:val="143F6A" w:themeColor="accent3" w:themeShade="80"/>
        </w:rPr>
        <w:t xml:space="preserve"> </w:t>
      </w:r>
    </w:p>
    <w:p w14:paraId="24AAFE48" w14:textId="1C782F38" w:rsidR="00C46550" w:rsidRPr="00C46550" w:rsidRDefault="00C46550" w:rsidP="00C46550">
      <w:pPr>
        <w:rPr>
          <w:color w:val="143F6A" w:themeColor="accent3" w:themeShade="80"/>
        </w:rPr>
      </w:pPr>
      <w:r w:rsidRPr="00C46550">
        <w:rPr>
          <w:color w:val="143F6A" w:themeColor="accent3" w:themeShade="80"/>
        </w:rPr>
        <w:t>"What are some effective digital tools or apps that I can incorporate into my teaching to support diverse learners, especially those with special needs?"</w:t>
      </w:r>
    </w:p>
    <w:p w14:paraId="1FC27CB0" w14:textId="77777777" w:rsidR="00C46550" w:rsidRDefault="00C46550" w:rsidP="00C46550">
      <w:pPr>
        <w:rPr>
          <w:color w:val="143F6A" w:themeColor="accent3" w:themeShade="80"/>
        </w:rPr>
      </w:pPr>
      <w:r w:rsidRPr="00C46550">
        <w:rPr>
          <w:b/>
          <w:color w:val="143F6A" w:themeColor="accent3" w:themeShade="80"/>
        </w:rPr>
        <w:t>Flexible Learning Paths:</w:t>
      </w:r>
      <w:r w:rsidRPr="00C46550">
        <w:rPr>
          <w:color w:val="143F6A" w:themeColor="accent3" w:themeShade="80"/>
        </w:rPr>
        <w:t xml:space="preserve"> </w:t>
      </w:r>
    </w:p>
    <w:p w14:paraId="4EE9D910" w14:textId="3BAE10AC" w:rsidR="00C46550" w:rsidRPr="00C46550" w:rsidRDefault="00C46550" w:rsidP="00C46550">
      <w:pPr>
        <w:rPr>
          <w:color w:val="143F6A" w:themeColor="accent3" w:themeShade="80"/>
        </w:rPr>
      </w:pPr>
      <w:r w:rsidRPr="00C46550">
        <w:rPr>
          <w:color w:val="143F6A" w:themeColor="accent3" w:themeShade="80"/>
        </w:rPr>
        <w:t>"How can I create a more flexible learning environment that allows students to choose different paths to explore [specific topic]?"</w:t>
      </w:r>
    </w:p>
    <w:p w14:paraId="0ACE4E5A" w14:textId="77777777" w:rsidR="00C46550" w:rsidRDefault="00C46550" w:rsidP="00C46550">
      <w:pPr>
        <w:rPr>
          <w:color w:val="143F6A" w:themeColor="accent3" w:themeShade="80"/>
        </w:rPr>
      </w:pPr>
      <w:r w:rsidRPr="00C46550">
        <w:rPr>
          <w:b/>
          <w:color w:val="143F6A" w:themeColor="accent3" w:themeShade="80"/>
        </w:rPr>
        <w:t>Scaffolding Techniques:</w:t>
      </w:r>
      <w:r w:rsidRPr="00C46550">
        <w:rPr>
          <w:color w:val="143F6A" w:themeColor="accent3" w:themeShade="80"/>
        </w:rPr>
        <w:t xml:space="preserve"> </w:t>
      </w:r>
    </w:p>
    <w:p w14:paraId="33560DCD" w14:textId="7552F6AD" w:rsidR="00C46550" w:rsidRPr="00C46550" w:rsidRDefault="00C46550" w:rsidP="00C46550">
      <w:pPr>
        <w:rPr>
          <w:color w:val="143F6A" w:themeColor="accent3" w:themeShade="80"/>
        </w:rPr>
      </w:pPr>
      <w:r w:rsidRPr="00C46550">
        <w:rPr>
          <w:color w:val="143F6A" w:themeColor="accent3" w:themeShade="80"/>
        </w:rPr>
        <w:t>"What are some scaffolding techniques I can use to gradually build student independence and mastery in [specific skill or subject]?"</w:t>
      </w:r>
    </w:p>
    <w:p w14:paraId="3A0323C0" w14:textId="77777777" w:rsidR="00C46550" w:rsidRDefault="00C46550" w:rsidP="00C46550">
      <w:pPr>
        <w:rPr>
          <w:color w:val="143F6A" w:themeColor="accent3" w:themeShade="80"/>
        </w:rPr>
      </w:pPr>
      <w:r w:rsidRPr="00C46550">
        <w:rPr>
          <w:b/>
          <w:color w:val="143F6A" w:themeColor="accent3" w:themeShade="80"/>
        </w:rPr>
        <w:t>Accessibility Features:</w:t>
      </w:r>
      <w:r w:rsidRPr="00C46550">
        <w:rPr>
          <w:color w:val="143F6A" w:themeColor="accent3" w:themeShade="80"/>
        </w:rPr>
        <w:t xml:space="preserve"> </w:t>
      </w:r>
      <w:bookmarkStart w:id="0" w:name="_GoBack"/>
      <w:bookmarkEnd w:id="0"/>
    </w:p>
    <w:p w14:paraId="77D6AF5B" w14:textId="7C7E1FC6" w:rsidR="00C46550" w:rsidRPr="00C46550" w:rsidRDefault="00C46550" w:rsidP="00C46550">
      <w:pPr>
        <w:rPr>
          <w:color w:val="143F6A" w:themeColor="accent3" w:themeShade="80"/>
        </w:rPr>
      </w:pPr>
      <w:r w:rsidRPr="00C46550">
        <w:rPr>
          <w:color w:val="143F6A" w:themeColor="accent3" w:themeShade="80"/>
        </w:rPr>
        <w:t>"What are some accessibility features or accommodations I should consider for students in my digital and</w:t>
      </w:r>
      <w:r w:rsidR="00803EC7">
        <w:rPr>
          <w:color w:val="143F6A" w:themeColor="accent3" w:themeShade="80"/>
        </w:rPr>
        <w:t>/or</w:t>
      </w:r>
      <w:r w:rsidRPr="00C46550">
        <w:rPr>
          <w:color w:val="143F6A" w:themeColor="accent3" w:themeShade="80"/>
        </w:rPr>
        <w:t xml:space="preserve"> physical classroom materials?"</w:t>
      </w:r>
    </w:p>
    <w:p w14:paraId="32191BD6" w14:textId="77777777" w:rsidR="00C231C1" w:rsidRPr="00C46550" w:rsidRDefault="00C231C1" w:rsidP="00B8265D">
      <w:pPr>
        <w:rPr>
          <w:rStyle w:val="Heading2Char"/>
          <w:rFonts w:eastAsiaTheme="minorHAnsi" w:cstheme="minorBidi"/>
          <w:color w:val="143F6A" w:themeColor="accent3" w:themeShade="80"/>
          <w:sz w:val="24"/>
          <w:szCs w:val="22"/>
        </w:rPr>
      </w:pPr>
    </w:p>
    <w:sectPr w:rsidR="00C231C1" w:rsidRPr="00C46550" w:rsidSect="00503C4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E7B8A" w14:textId="77777777" w:rsidR="00BC4150" w:rsidRDefault="00BC4150" w:rsidP="007737AB">
      <w:pPr>
        <w:spacing w:after="0" w:line="240" w:lineRule="auto"/>
      </w:pPr>
      <w:r>
        <w:separator/>
      </w:r>
    </w:p>
  </w:endnote>
  <w:endnote w:type="continuationSeparator" w:id="0">
    <w:p w14:paraId="53D0E685" w14:textId="77777777" w:rsidR="00BC4150" w:rsidRDefault="00BC4150" w:rsidP="0077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C3CAF" w14:textId="2AE33686" w:rsidR="000B0FC7" w:rsidRDefault="002876F1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27B8BCE" wp14:editId="25F2CDF0">
          <wp:simplePos x="0" y="0"/>
          <wp:positionH relativeFrom="page">
            <wp:align>right</wp:align>
          </wp:positionH>
          <wp:positionV relativeFrom="page">
            <wp:posOffset>9359900</wp:posOffset>
          </wp:positionV>
          <wp:extent cx="1693545" cy="593725"/>
          <wp:effectExtent l="0" t="0" r="190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ublic_do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545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FC7">
      <w:rPr>
        <w:noProof/>
      </w:rPr>
      <w:drawing>
        <wp:anchor distT="0" distB="0" distL="114300" distR="114300" simplePos="0" relativeHeight="251662336" behindDoc="0" locked="0" layoutInCell="1" allowOverlap="1" wp14:anchorId="034C3CB4" wp14:editId="69AF889F">
          <wp:simplePos x="0" y="0"/>
          <wp:positionH relativeFrom="margin">
            <wp:posOffset>-380010</wp:posOffset>
          </wp:positionH>
          <wp:positionV relativeFrom="page">
            <wp:posOffset>9133618</wp:posOffset>
          </wp:positionV>
          <wp:extent cx="652780" cy="868045"/>
          <wp:effectExtent l="0" t="0" r="0" b="8255"/>
          <wp:wrapSquare wrapText="bothSides"/>
          <wp:docPr id="3" name="Picture 3" descr="ubc-logo-png-transparent | Volleyball 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bc-logo-png-transparent | Volleyball BC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38" t="4780" r="16722" b="5167"/>
                  <a:stretch/>
                </pic:blipFill>
                <pic:spPr bwMode="auto">
                  <a:xfrm>
                    <a:off x="0" y="0"/>
                    <a:ext cx="65278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99763" w14:textId="77777777" w:rsidR="00BC4150" w:rsidRDefault="00BC4150" w:rsidP="007737AB">
      <w:pPr>
        <w:spacing w:after="0" w:line="240" w:lineRule="auto"/>
      </w:pPr>
      <w:r>
        <w:separator/>
      </w:r>
    </w:p>
  </w:footnote>
  <w:footnote w:type="continuationSeparator" w:id="0">
    <w:p w14:paraId="41F09663" w14:textId="77777777" w:rsidR="00BC4150" w:rsidRDefault="00BC4150" w:rsidP="0077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C3CAE" w14:textId="77777777" w:rsidR="008D32B6" w:rsidRDefault="008D32B6" w:rsidP="006B0579">
    <w:r>
      <w:rPr>
        <w:noProof/>
      </w:rPr>
      <mc:AlternateContent>
        <mc:Choice Requires="wps">
          <w:drawing>
            <wp:anchor distT="0" distB="0" distL="118745" distR="118745" simplePos="0" relativeHeight="251660288" behindDoc="1" locked="0" layoutInCell="1" allowOverlap="0" wp14:anchorId="034C3CB0" wp14:editId="58A2463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0020300" cy="3810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20300" cy="381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-5439334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34C3CB6" w14:textId="4E26154A" w:rsidR="008D32B6" w:rsidRPr="00F00ED1" w:rsidRDefault="00D46231" w:rsidP="00F70999">
                              <w:pPr>
                                <w:pStyle w:val="Heading2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UBC is located on the traditional, ancestral, and unceded territory of the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xʷməθkʷəy̓əm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Musqueam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) People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C3CB0" id="Rectangle 197" o:spid="_x0000_s1026" style="position:absolute;margin-left:0;margin-top:0;width:789pt;height:30pt;z-index:-251656192;visibility:visible;mso-wrap-style:square;mso-width-percent:0;mso-height-percent:0;mso-wrap-distance-left:9.35pt;mso-wrap-distance-top:0;mso-wrap-distance-right:9.35pt;mso-wrap-distance-bottom:0;mso-position-horizontal:left;mso-position-horizontal-relative:page;mso-position-vertical:top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" o:allowoverlap="f" fillcolor="#243255 [1604]" stroked="f" strokeweight="1pt">
              <v:textbox>
                <w:txbxContent>
                  <w:sdt>
                    <w:sdtPr>
                      <w:rPr>
                        <w:color w:val="FFFFFF" w:themeColor="background1"/>
                        <w:sz w:val="24"/>
                        <w:szCs w:val="24"/>
                      </w:rPr>
                      <w:alias w:val="Title"/>
                      <w:tag w:val=""/>
                      <w:id w:val="-5439334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34C3CB6" w14:textId="4E26154A" w:rsidR="008D32B6" w:rsidRPr="00F00ED1" w:rsidRDefault="00D46231" w:rsidP="00F70999">
                        <w:pPr>
                          <w:pStyle w:val="Heading2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UBC is located on the traditional, ancestral, and unceded territory of the </w:t>
                        </w:r>
                        <w:proofErr w:type="spellStart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xʷməθkʷəy̓əm</w:t>
                        </w:r>
                        <w:proofErr w:type="spellEnd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Musqueam</w:t>
                        </w:r>
                        <w:proofErr w:type="spellEnd"/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t>) People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20859"/>
    <w:multiLevelType w:val="hybridMultilevel"/>
    <w:tmpl w:val="EA50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A18C3"/>
    <w:multiLevelType w:val="hybridMultilevel"/>
    <w:tmpl w:val="66F6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B08FA"/>
    <w:multiLevelType w:val="hybridMultilevel"/>
    <w:tmpl w:val="02B8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B0A2B"/>
    <w:multiLevelType w:val="hybridMultilevel"/>
    <w:tmpl w:val="84F4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42184"/>
    <w:multiLevelType w:val="hybridMultilevel"/>
    <w:tmpl w:val="F328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11699"/>
    <w:multiLevelType w:val="hybridMultilevel"/>
    <w:tmpl w:val="59B4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D26C8"/>
    <w:multiLevelType w:val="hybridMultilevel"/>
    <w:tmpl w:val="E4C29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6048E"/>
    <w:multiLevelType w:val="hybridMultilevel"/>
    <w:tmpl w:val="1B56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6BD0"/>
    <w:multiLevelType w:val="hybridMultilevel"/>
    <w:tmpl w:val="6846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F3A93"/>
    <w:multiLevelType w:val="hybridMultilevel"/>
    <w:tmpl w:val="C538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ru v:ext="edit" colors="#cedafa,#c9f,#edf,#bddeff,#a3c8ff,#c9dfff,#cfebf9,#cfee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AB"/>
    <w:rsid w:val="00045FD1"/>
    <w:rsid w:val="00055C87"/>
    <w:rsid w:val="00083C68"/>
    <w:rsid w:val="000867B9"/>
    <w:rsid w:val="000B0FC7"/>
    <w:rsid w:val="00110E03"/>
    <w:rsid w:val="00143FA3"/>
    <w:rsid w:val="001951E1"/>
    <w:rsid w:val="001B17AF"/>
    <w:rsid w:val="001E19EA"/>
    <w:rsid w:val="00231120"/>
    <w:rsid w:val="00243B80"/>
    <w:rsid w:val="002876F1"/>
    <w:rsid w:val="002B23F4"/>
    <w:rsid w:val="002D382B"/>
    <w:rsid w:val="002E7295"/>
    <w:rsid w:val="003002B8"/>
    <w:rsid w:val="00325929"/>
    <w:rsid w:val="003518FE"/>
    <w:rsid w:val="00395378"/>
    <w:rsid w:val="003B000D"/>
    <w:rsid w:val="003B1945"/>
    <w:rsid w:val="003C3C57"/>
    <w:rsid w:val="003E3EE1"/>
    <w:rsid w:val="003F0824"/>
    <w:rsid w:val="003F5734"/>
    <w:rsid w:val="003F7A6E"/>
    <w:rsid w:val="004030F1"/>
    <w:rsid w:val="004206B2"/>
    <w:rsid w:val="00503C46"/>
    <w:rsid w:val="00595AAF"/>
    <w:rsid w:val="005A4527"/>
    <w:rsid w:val="005B5849"/>
    <w:rsid w:val="005E66EC"/>
    <w:rsid w:val="00620181"/>
    <w:rsid w:val="00630EBD"/>
    <w:rsid w:val="006677C0"/>
    <w:rsid w:val="006B0579"/>
    <w:rsid w:val="006D2101"/>
    <w:rsid w:val="006F4641"/>
    <w:rsid w:val="00704CEE"/>
    <w:rsid w:val="007201F1"/>
    <w:rsid w:val="007735A3"/>
    <w:rsid w:val="007737AB"/>
    <w:rsid w:val="00776EC5"/>
    <w:rsid w:val="007C1977"/>
    <w:rsid w:val="00803EC7"/>
    <w:rsid w:val="0081350E"/>
    <w:rsid w:val="00813B2F"/>
    <w:rsid w:val="008245C3"/>
    <w:rsid w:val="00832309"/>
    <w:rsid w:val="00891FC4"/>
    <w:rsid w:val="008A126C"/>
    <w:rsid w:val="008D32B6"/>
    <w:rsid w:val="008F0439"/>
    <w:rsid w:val="008F66C2"/>
    <w:rsid w:val="0094608F"/>
    <w:rsid w:val="00A923A7"/>
    <w:rsid w:val="00A93137"/>
    <w:rsid w:val="00A942C4"/>
    <w:rsid w:val="00AB2A9F"/>
    <w:rsid w:val="00B17E60"/>
    <w:rsid w:val="00B21CD3"/>
    <w:rsid w:val="00B3034C"/>
    <w:rsid w:val="00B8265D"/>
    <w:rsid w:val="00BC4150"/>
    <w:rsid w:val="00C104BC"/>
    <w:rsid w:val="00C231C1"/>
    <w:rsid w:val="00C405B5"/>
    <w:rsid w:val="00C461ED"/>
    <w:rsid w:val="00C46550"/>
    <w:rsid w:val="00D46231"/>
    <w:rsid w:val="00DC143F"/>
    <w:rsid w:val="00DD76A2"/>
    <w:rsid w:val="00E5114E"/>
    <w:rsid w:val="00E571B4"/>
    <w:rsid w:val="00E603E5"/>
    <w:rsid w:val="00E734AB"/>
    <w:rsid w:val="00EF38B5"/>
    <w:rsid w:val="00EF70D4"/>
    <w:rsid w:val="00F00ED1"/>
    <w:rsid w:val="00F2460D"/>
    <w:rsid w:val="00F70999"/>
    <w:rsid w:val="00F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cedafa,#c9f,#edf,#bddeff,#a3c8ff,#c9dfff,#cfebf9,#cfeef9"/>
    </o:shapedefaults>
    <o:shapelayout v:ext="edit">
      <o:idmap v:ext="edit" data="1"/>
    </o:shapelayout>
  </w:shapeDefaults>
  <w:decimalSymbol w:val="."/>
  <w:listSeparator w:val=","/>
  <w14:docId w14:val="034C3CA9"/>
  <w15:chartTrackingRefBased/>
  <w15:docId w15:val="{A2141960-1885-4C97-A1BA-7B4B3D1A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65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999"/>
    <w:pPr>
      <w:keepNext/>
      <w:keepLines/>
      <w:spacing w:before="240" w:after="0" w:line="240" w:lineRule="auto"/>
      <w:outlineLvl w:val="0"/>
    </w:pPr>
    <w:rPr>
      <w:rFonts w:eastAsiaTheme="majorEastAsia" w:cs="Arial"/>
      <w:color w:val="374C80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999"/>
    <w:pPr>
      <w:keepNext/>
      <w:keepLines/>
      <w:spacing w:before="40" w:after="0"/>
      <w:outlineLvl w:val="1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0999"/>
    <w:pPr>
      <w:keepNext/>
      <w:keepLines/>
      <w:spacing w:before="40" w:after="0"/>
      <w:outlineLvl w:val="2"/>
    </w:pPr>
    <w:rPr>
      <w:rFonts w:eastAsiaTheme="majorEastAsia" w:cstheme="majorBidi"/>
      <w:color w:val="243255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7AB"/>
  </w:style>
  <w:style w:type="paragraph" w:styleId="Footer">
    <w:name w:val="footer"/>
    <w:basedOn w:val="Normal"/>
    <w:link w:val="FooterChar"/>
    <w:uiPriority w:val="99"/>
    <w:unhideWhenUsed/>
    <w:rsid w:val="00773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7AB"/>
  </w:style>
  <w:style w:type="paragraph" w:styleId="NoSpacing">
    <w:name w:val="No Spacing"/>
    <w:link w:val="NoSpacingChar"/>
    <w:uiPriority w:val="1"/>
    <w:qFormat/>
    <w:rsid w:val="005A45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A452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5114E"/>
    <w:rPr>
      <w:color w:val="9454C3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0999"/>
    <w:rPr>
      <w:rFonts w:ascii="Arial" w:eastAsiaTheme="majorEastAsia" w:hAnsi="Arial" w:cs="Arial"/>
      <w:color w:val="374C80" w:themeColor="accent1" w:themeShade="BF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4206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F70999"/>
    <w:rPr>
      <w:rFonts w:ascii="Arial" w:eastAsiaTheme="majorEastAsia" w:hAnsi="Arial" w:cstheme="majorBidi"/>
      <w:color w:val="374C80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8F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F66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70999"/>
    <w:rPr>
      <w:rFonts w:ascii="Arial" w:eastAsiaTheme="majorEastAsia" w:hAnsi="Arial" w:cstheme="majorBidi"/>
      <w:color w:val="243255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5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1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c2d0b7-503f-4434-bd5e-691963e636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646D0035FA4C8F1F95DBA74C7670" ma:contentTypeVersion="18" ma:contentTypeDescription="Create a new document." ma:contentTypeScope="" ma:versionID="6cd1eea0e93babe85b5be06906104558">
  <xsd:schema xmlns:xsd="http://www.w3.org/2001/XMLSchema" xmlns:xs="http://www.w3.org/2001/XMLSchema" xmlns:p="http://schemas.microsoft.com/office/2006/metadata/properties" xmlns:ns3="9ec2d0b7-503f-4434-bd5e-691963e6366e" xmlns:ns4="a169fe49-86d9-4b9f-a163-9271c3e82536" targetNamespace="http://schemas.microsoft.com/office/2006/metadata/properties" ma:root="true" ma:fieldsID="8078176e96b19b0f081b81514347f8ea" ns3:_="" ns4:_="">
    <xsd:import namespace="9ec2d0b7-503f-4434-bd5e-691963e6366e"/>
    <xsd:import namespace="a169fe49-86d9-4b9f-a163-9271c3e82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d0b7-503f-4434-bd5e-691963e63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9fe49-86d9-4b9f-a163-9271c3e8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31818-C0AA-4A67-A6C7-0AB4761EC445}">
  <ds:schemaRefs>
    <ds:schemaRef ds:uri="http://schemas.microsoft.com/office/2006/documentManagement/types"/>
    <ds:schemaRef ds:uri="a169fe49-86d9-4b9f-a163-9271c3e82536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9ec2d0b7-503f-4434-bd5e-691963e6366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F8D008-45E2-4B61-A043-0B25BF681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FF00C-F7B3-46D3-A67E-ED60272A4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2d0b7-503f-4434-bd5e-691963e6366e"/>
    <ds:schemaRef ds:uri="a169fe49-86d9-4b9f-a163-9271c3e8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UBC is located on the traditional, ancestral, and unceded territory of the xʷməθkʷəy̓əm (Musqueam) People</vt:lpstr>
    </vt:vector>
  </TitlesOfParts>
  <Company>The University of British Columbia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UBC is located on the traditional, ancestral, and unceded territory of the xʷməθkʷəy̓əm (Musqueam) People</dc:title>
  <dc:subject/>
  <dc:creator>Shaw, Amber</dc:creator>
  <cp:keywords/>
  <dc:description/>
  <cp:lastModifiedBy>Shaw, Weaver</cp:lastModifiedBy>
  <cp:revision>8</cp:revision>
  <dcterms:created xsi:type="dcterms:W3CDTF">2024-01-17T22:36:00Z</dcterms:created>
  <dcterms:modified xsi:type="dcterms:W3CDTF">2024-01-17T22:46:00Z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0x010100C107646D0035FA4C8F1F95DBA74C7670</vt:lpwstr>
  </property>
</Properties>
</file>